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both"/>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w:t>
      </w:r>
    </w:p>
    <w:p>
      <w:pPr>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pPr>
        <w:spacing w:line="600" w:lineRule="exact"/>
        <w:jc w:val="both"/>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spacing w:line="600" w:lineRule="exact"/>
        <w:jc w:val="center"/>
        <w:rPr>
          <w:rFonts w:ascii="Times New Roman" w:hAnsi="Times New Roman" w:eastAsia="方正小标宋简体"/>
          <w:sz w:val="44"/>
          <w:szCs w:val="44"/>
        </w:rPr>
      </w:pPr>
    </w:p>
    <w:p>
      <w:pPr>
        <w:pStyle w:val="1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int="eastAsia" w:eastAsia="黑体"/>
          <w:sz w:val="32"/>
          <w:szCs w:val="32"/>
          <w:lang w:eastAsia="zh-CN"/>
        </w:rPr>
        <w:t>一、</w:t>
      </w:r>
      <w:r>
        <w:rPr>
          <w:rFonts w:eastAsia="黑体"/>
          <w:sz w:val="32"/>
          <w:szCs w:val="32"/>
        </w:rPr>
        <w:t>部门、单位基本情况</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衡阳市疾病预防控制中心是衡阳市卫生健康委员会二级机构，为公益一类全额拨款事业单位，本单位主要职责是：为全市人民群众身体健康提供保障服务。负责疾病预防控制与管理；突发公共卫生事件应急处置和疫情报告、监测分析与管理；健康危害因素监测分析与干预、实验室检测分析与评估；开展肺癌早诊早治、慢病防治、死因监测；结核病、艾滋病防治；示范接种门诊规范化建设、扩大国家免疫规划；职业病防治和职业卫生、放射卫生技术服务；食品与饮用水安全风险监测与评估；职业健康监护及健康教育与促进；预防医学科研与培训等。</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本单位现有科室22个，在职在编人员191人，退休人员149人。</w:t>
      </w:r>
    </w:p>
    <w:p>
      <w:pPr>
        <w:pStyle w:val="1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eastAsia="黑体"/>
          <w:sz w:val="32"/>
          <w:szCs w:val="32"/>
        </w:rPr>
      </w:pPr>
      <w:r>
        <w:rPr>
          <w:rFonts w:hint="eastAsia" w:eastAsia="黑体"/>
          <w:sz w:val="32"/>
          <w:szCs w:val="32"/>
          <w:lang w:eastAsia="zh-CN"/>
        </w:rPr>
        <w:t>二、</w:t>
      </w:r>
      <w:r>
        <w:rPr>
          <w:rFonts w:eastAsia="黑体"/>
          <w:sz w:val="32"/>
          <w:szCs w:val="32"/>
        </w:rPr>
        <w:t>一般公共预算支出情况</w:t>
      </w:r>
    </w:p>
    <w:p>
      <w:pPr>
        <w:pStyle w:val="18"/>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eastAsia="楷体"/>
          <w:b/>
          <w:sz w:val="32"/>
          <w:szCs w:val="32"/>
        </w:rPr>
      </w:pPr>
      <w:r>
        <w:rPr>
          <w:rFonts w:eastAsia="楷体"/>
          <w:b/>
          <w:sz w:val="32"/>
          <w:szCs w:val="32"/>
        </w:rPr>
        <w:t>（一）基本支出情况</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2023年度总资产为：12663.47万元，总负债：1383.74万元,净资产11279.73万元，资产负债率为：10.93%。</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本单位基本支出用于为保障机构正常运转、完成日常工作任务而发生的支出，包括人员经费和日常公用经费。</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2023年度总支出：7049.11万元，一般公共预算基本支出支出4032.64万元。其中：人员经费支出3699.89万元（住房公积金支出206.93万元、机关事业单位基本养老保险缴费支出202.17万元、职工基本医疗保险缴费支出231.24万元、其他社会保障缴费17.56万元、对个人和家庭补助支出604.5万元）；公用经费（商品和服务支出）332.75万元。</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eastAsia="楷体"/>
          <w:b/>
          <w:sz w:val="32"/>
          <w:szCs w:val="32"/>
        </w:rPr>
      </w:pPr>
      <w:r>
        <w:rPr>
          <w:rFonts w:eastAsia="楷体"/>
          <w:b/>
          <w:sz w:val="32"/>
          <w:szCs w:val="32"/>
        </w:rPr>
        <w:t>（二）项目支出情况</w:t>
      </w:r>
    </w:p>
    <w:p>
      <w:pPr>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588" w:firstLineChars="196"/>
        <w:jc w:val="both"/>
        <w:textAlignment w:val="baseline"/>
        <w:rPr>
          <w:rFonts w:hint="eastAsia" w:ascii="仿宋" w:hAnsi="仿宋" w:eastAsia="仿宋" w:cs="仿宋"/>
          <w:sz w:val="30"/>
          <w:szCs w:val="30"/>
        </w:rPr>
      </w:pPr>
      <w:r>
        <w:rPr>
          <w:rFonts w:hint="eastAsia" w:ascii="仿宋" w:hAnsi="仿宋" w:eastAsia="仿宋" w:cs="仿宋"/>
          <w:b w:val="0"/>
          <w:bCs/>
          <w:i w:val="0"/>
          <w:caps w:val="0"/>
          <w:color w:val="auto"/>
          <w:spacing w:val="0"/>
          <w:w w:val="100"/>
          <w:kern w:val="2"/>
          <w:sz w:val="30"/>
          <w:szCs w:val="30"/>
          <w:lang w:val="en-US" w:eastAsia="zh-CN" w:bidi="ar-SA"/>
        </w:rPr>
        <w:t>2023年共收到中央、省、市级项目资金共计2373.95万元，专项支出1178.45万元。其中：中央资金收入2295.5万元，支出1137.68万元（包括</w:t>
      </w:r>
      <w:r>
        <w:rPr>
          <w:rFonts w:hint="eastAsia" w:ascii="仿宋" w:hAnsi="仿宋" w:eastAsia="仿宋" w:cs="仿宋"/>
          <w:sz w:val="30"/>
          <w:szCs w:val="30"/>
          <w:lang w:val="en-US" w:eastAsia="zh-CN"/>
        </w:rPr>
        <w:t>湘财社指[2022]102号中央转移支付重大传染病项目资金554.5万元，专项支出444.26万元；湘财预[2023]174号中央补助医疗服务与保障能力提升5.07万元，专项支出5.02万元；湘财社指[2023]57号文件2023年第二批重大传染病防控项目经费535.58万元，专项支出0万元；湘财社指[2023]8号文件2022年中央第二批重大传染病防控和医疗服务与保障能力提升补助资金项目经费347.9万元，专项支出207.66万元；湘财社指[2022]358号文件2023年中央医疗服务与保障能力提升补助资金项目经费55万元，专项支出0万元；；历年中央转移支付重大传染病项目结余资金797.45万元，专项支出480.74万元</w:t>
      </w:r>
      <w:r>
        <w:rPr>
          <w:rFonts w:hint="eastAsia" w:ascii="仿宋" w:hAnsi="仿宋" w:eastAsia="仿宋" w:cs="仿宋"/>
          <w:b w:val="0"/>
          <w:bCs/>
          <w:i w:val="0"/>
          <w:caps w:val="0"/>
          <w:color w:val="auto"/>
          <w:spacing w:val="0"/>
          <w:w w:val="100"/>
          <w:kern w:val="2"/>
          <w:sz w:val="30"/>
          <w:szCs w:val="30"/>
          <w:lang w:val="en-US" w:eastAsia="zh-CN" w:bidi="ar-SA"/>
        </w:rPr>
        <w:t>）；省级资金,41.2万元支出</w:t>
      </w:r>
      <w:r>
        <w:rPr>
          <w:rFonts w:hint="eastAsia" w:ascii="仿宋" w:hAnsi="仿宋" w:eastAsia="仿宋" w:cs="仿宋"/>
          <w:sz w:val="30"/>
          <w:szCs w:val="30"/>
          <w:lang w:val="en-US" w:eastAsia="zh-CN"/>
        </w:rPr>
        <w:t>10.77</w:t>
      </w:r>
      <w:r>
        <w:rPr>
          <w:rFonts w:hint="eastAsia" w:ascii="仿宋" w:hAnsi="仿宋" w:eastAsia="仿宋" w:cs="仿宋"/>
          <w:b w:val="0"/>
          <w:bCs/>
          <w:i w:val="0"/>
          <w:caps w:val="0"/>
          <w:color w:val="auto"/>
          <w:spacing w:val="0"/>
          <w:w w:val="100"/>
          <w:kern w:val="2"/>
          <w:sz w:val="30"/>
          <w:szCs w:val="30"/>
          <w:lang w:val="en-US" w:eastAsia="zh-CN" w:bidi="ar-SA"/>
        </w:rPr>
        <w:t>万元（包括</w:t>
      </w:r>
      <w:r>
        <w:rPr>
          <w:rFonts w:hint="eastAsia" w:ascii="仿宋" w:hAnsi="仿宋" w:eastAsia="仿宋" w:cs="仿宋"/>
          <w:sz w:val="30"/>
          <w:szCs w:val="30"/>
          <w:lang w:val="en-US" w:eastAsia="zh-CN"/>
        </w:rPr>
        <w:t>湘财社指[2023]13号文件2023年省补助公共卫生中医药项目经费41.2万元，专项支出10.77万元</w:t>
      </w:r>
      <w:r>
        <w:rPr>
          <w:rFonts w:hint="eastAsia" w:ascii="仿宋" w:hAnsi="仿宋" w:eastAsia="仿宋" w:cs="仿宋"/>
          <w:b w:val="0"/>
          <w:bCs/>
          <w:i w:val="0"/>
          <w:caps w:val="0"/>
          <w:color w:val="auto"/>
          <w:spacing w:val="0"/>
          <w:w w:val="100"/>
          <w:kern w:val="2"/>
          <w:sz w:val="30"/>
          <w:szCs w:val="30"/>
          <w:lang w:val="en-US" w:eastAsia="zh-CN" w:bidi="ar-SA"/>
        </w:rPr>
        <w:t>）；市级资金37.25万元，支出30万元（包括市财政年初防疫事务经费预算30万元，2023年度市级专项支出：30万元；</w:t>
      </w:r>
      <w:r>
        <w:rPr>
          <w:rFonts w:hint="eastAsia" w:ascii="仿宋" w:hAnsi="仿宋" w:eastAsia="仿宋" w:cs="仿宋"/>
          <w:sz w:val="30"/>
          <w:szCs w:val="30"/>
          <w:lang w:val="en-US" w:eastAsia="zh-CN"/>
        </w:rPr>
        <w:t>衡财社指[2023]238号全民免费核算检测专项资金7.25万元，支出0万元</w:t>
      </w:r>
      <w:r>
        <w:rPr>
          <w:rFonts w:hint="eastAsia" w:ascii="仿宋" w:hAnsi="仿宋" w:eastAsia="仿宋" w:cs="仿宋"/>
          <w:b w:val="0"/>
          <w:bCs/>
          <w:i w:val="0"/>
          <w:caps w:val="0"/>
          <w:color w:val="auto"/>
          <w:spacing w:val="0"/>
          <w:w w:val="100"/>
          <w:kern w:val="2"/>
          <w:sz w:val="30"/>
          <w:szCs w:val="30"/>
          <w:lang w:val="en-US" w:eastAsia="zh-CN" w:bidi="ar-SA"/>
        </w:rPr>
        <w:t>）。</w:t>
      </w:r>
    </w:p>
    <w:p>
      <w:pPr>
        <w:pStyle w:val="18"/>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eastAsia="黑体"/>
          <w:sz w:val="32"/>
          <w:szCs w:val="32"/>
        </w:rPr>
      </w:pPr>
      <w:r>
        <w:rPr>
          <w:rFonts w:hint="eastAsia" w:eastAsia="黑体"/>
          <w:sz w:val="32"/>
          <w:szCs w:val="32"/>
          <w:lang w:val="en-US" w:eastAsia="zh-CN"/>
        </w:rPr>
        <w:t>三</w:t>
      </w:r>
      <w:r>
        <w:rPr>
          <w:rFonts w:hint="eastAsia" w:eastAsia="黑体"/>
          <w:sz w:val="32"/>
          <w:szCs w:val="32"/>
          <w:lang w:eastAsia="zh-CN"/>
        </w:rPr>
        <w:t>、</w:t>
      </w:r>
      <w:r>
        <w:rPr>
          <w:rFonts w:eastAsia="黑体"/>
          <w:sz w:val="32"/>
          <w:szCs w:val="32"/>
        </w:rPr>
        <w:t>政府性基金预算支出情况</w:t>
      </w:r>
    </w:p>
    <w:p>
      <w:pPr>
        <w:pStyle w:val="18"/>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textAlignment w:val="auto"/>
        <w:rPr>
          <w:rFonts w:hint="eastAsia" w:eastAsia="黑体"/>
          <w:sz w:val="32"/>
          <w:szCs w:val="32"/>
          <w:lang w:val="en-US" w:eastAsia="zh-CN"/>
        </w:rPr>
      </w:pPr>
      <w:r>
        <w:rPr>
          <w:rFonts w:hint="eastAsia" w:ascii="仿宋" w:hAnsi="仿宋" w:eastAsia="仿宋" w:cs="仿宋"/>
          <w:b w:val="0"/>
          <w:bCs/>
          <w:i w:val="0"/>
          <w:caps w:val="0"/>
          <w:color w:val="auto"/>
          <w:spacing w:val="0"/>
          <w:w w:val="100"/>
          <w:kern w:val="2"/>
          <w:sz w:val="30"/>
          <w:szCs w:val="30"/>
          <w:lang w:val="en-US" w:eastAsia="zh-CN" w:bidi="ar-SA"/>
        </w:rPr>
        <w:t xml:space="preserve"> 抗疫国债项目</w:t>
      </w:r>
      <w:r>
        <w:rPr>
          <w:rFonts w:hint="default" w:ascii="仿宋" w:hAnsi="仿宋" w:eastAsia="仿宋" w:cs="仿宋"/>
          <w:b w:val="0"/>
          <w:bCs/>
          <w:i w:val="0"/>
          <w:caps w:val="0"/>
          <w:color w:val="auto"/>
          <w:spacing w:val="0"/>
          <w:w w:val="100"/>
          <w:kern w:val="2"/>
          <w:sz w:val="30"/>
          <w:szCs w:val="30"/>
          <w:lang w:val="en-US" w:eastAsia="zh-CN" w:bidi="ar-SA"/>
        </w:rPr>
        <w:t>(</w:t>
      </w:r>
      <w:r>
        <w:rPr>
          <w:rFonts w:hint="eastAsia" w:ascii="仿宋" w:hAnsi="仿宋" w:eastAsia="仿宋" w:cs="仿宋"/>
          <w:b w:val="0"/>
          <w:bCs/>
          <w:i w:val="0"/>
          <w:caps w:val="0"/>
          <w:color w:val="auto"/>
          <w:spacing w:val="0"/>
          <w:w w:val="100"/>
          <w:kern w:val="2"/>
          <w:sz w:val="30"/>
          <w:szCs w:val="30"/>
          <w:lang w:val="en-US" w:eastAsia="zh-CN" w:bidi="ar-SA"/>
        </w:rPr>
        <w:t>业务楼项目</w:t>
      </w:r>
      <w:r>
        <w:rPr>
          <w:rFonts w:hint="default" w:ascii="仿宋" w:hAnsi="仿宋" w:eastAsia="仿宋" w:cs="仿宋"/>
          <w:b w:val="0"/>
          <w:bCs/>
          <w:i w:val="0"/>
          <w:caps w:val="0"/>
          <w:color w:val="auto"/>
          <w:spacing w:val="0"/>
          <w:w w:val="100"/>
          <w:kern w:val="2"/>
          <w:sz w:val="30"/>
          <w:szCs w:val="30"/>
          <w:lang w:val="en-US" w:eastAsia="zh-CN" w:bidi="ar-SA"/>
        </w:rPr>
        <w:t>)</w:t>
      </w:r>
      <w:r>
        <w:rPr>
          <w:rFonts w:hint="eastAsia" w:ascii="仿宋" w:hAnsi="仿宋" w:eastAsia="仿宋" w:cs="仿宋"/>
          <w:b w:val="0"/>
          <w:bCs/>
          <w:i w:val="0"/>
          <w:caps w:val="0"/>
          <w:color w:val="auto"/>
          <w:spacing w:val="0"/>
          <w:w w:val="100"/>
          <w:kern w:val="2"/>
          <w:sz w:val="30"/>
          <w:szCs w:val="30"/>
          <w:lang w:val="en-US" w:eastAsia="zh-CN" w:bidi="ar-SA"/>
        </w:rPr>
        <w:t>支出854.44万元。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eastAsia="zh-CN"/>
        </w:rPr>
        <w:t>四、</w:t>
      </w:r>
      <w:r>
        <w:rPr>
          <w:rFonts w:ascii="Times New Roman" w:hAnsi="Times New Roman" w:eastAsia="黑体"/>
          <w:sz w:val="32"/>
          <w:szCs w:val="32"/>
        </w:rPr>
        <w:t>部门整体支出绩效情</w:t>
      </w:r>
      <w:r>
        <w:rPr>
          <w:rFonts w:hint="eastAsia" w:ascii="Times New Roman" w:hAnsi="Times New Roman" w:eastAsia="黑体"/>
          <w:sz w:val="32"/>
          <w:szCs w:val="32"/>
          <w:lang w:eastAsia="zh-CN"/>
        </w:rPr>
        <w:t>况</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认真贯彻落实中央、省、市各级政府的决策部署，坚持人民至上、生命至上，统筹发展与安全两件大事，全面落实以人民为中心和预防为主的工作方针，强化责任担当，扎实履行职责，圆满完成年度目标任务，根据《2023年度部门整体支出绩效自评表》评分，中心部门整体支出绩效自评得分98分，部门整体支出绩效为“优”。</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1.传染病防控平稳有效</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全年无甲类传染病报告。乙类传染病报告18种，发病23160例，发病率为231.55/10万（不含新冠病例），较2022年（262.31/10万）同期下降18.90%。乙类传染病报告发病数居前5位的依次为：肝炎（9434例）、新型冠状病毒感（5512例）、肺结核（5227例）、梅毒（2118例）、艾滋病（443例），占乙类传染病报告病例总数的98.16%。死亡15</w:t>
      </w:r>
      <w:bookmarkStart w:id="2" w:name="_GoBack"/>
      <w:bookmarkEnd w:id="2"/>
      <w:r>
        <w:rPr>
          <w:rFonts w:hint="eastAsia" w:ascii="仿宋" w:hAnsi="仿宋" w:eastAsia="仿宋" w:cs="仿宋"/>
          <w:b w:val="0"/>
          <w:bCs/>
          <w:i w:val="0"/>
          <w:caps w:val="0"/>
          <w:color w:val="auto"/>
          <w:spacing w:val="0"/>
          <w:w w:val="100"/>
          <w:kern w:val="2"/>
          <w:sz w:val="30"/>
          <w:szCs w:val="30"/>
          <w:lang w:val="en-US" w:eastAsia="zh-CN" w:bidi="ar-SA"/>
        </w:rPr>
        <w:t>9例，较同期下降5.45%，其中艾滋病142例，肺结核9例，肝炎4例，新冠感染3例，狂犬病1例。高效处置2起诺如病毒感染性腹泻聚集性疫情、1起急性出血性结膜炎疫情，无重症和住院病例。在全省新冠病毒感染等急性传染病疫情应急处置技能大赛中，我市代表队综合成绩排全省第四名，荣获团体赛三等奖，胡红梅科长获得湖南省卫生应急标兵个人二等奖。</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2.免疫规划管理持续加强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一是大力加强预防接种门诊建设。共创建24个示范性门诊（累计已创建52个），建成数字化门诊23个（累计已建成48个），持续提升接种服务能力。二是持续保持疫苗针对性传染病低流行态势。全市共报告乙肝病例6116例，甲肝病例22例，流行性腮腺炎病例171例，百日咳病例132例，流脑1例，麻疹1例，AFP病例31例，AEFI965例，无风疹、脊灰、乙脑、白喉、新生儿破伤风病例报告。三是持续开展新冠疫苗接种。全市共接种新冠疫苗3.775万剂次，其中第一剂4028剂次，第二剂3644剂次，第三剂22420剂次,第四剂7658剂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3.监测预警任务全面完成</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严格做好传染病报告和管理，定期对传染病疫情报告质量进行网络巡查。全市传染病应报告单位321家，实际进行网络报告单位321家，网络报告率100%。全市报告法定传染病25种，病例50328例，同期比较上升21.74%。完成新冠、流感、霍乱、手足口病、人禽流感等传染病监测任务，及时开展风险评估和疫情预判。监测城市水样419份、完成率106.89%，农村监测水样1113份、完成率144.92%，并形成监测报告政务公开。完成对8类重点场所共50家监测点的基本情况调查和646名从业人员健康状况监测工作，任务完成率100%。对全市109所学校31100学生进行现场常见病筛查。报告食源性疾病病例7005例，主动监测已采集标本424份，阳性率34.67%。监测食品污染物及其致病因子监测等1544份样品，100%完成采样及检测任务。完成254家放射诊疗机构和38家非医疗机构用人单位放射卫生监测项目情况调查。完成3家哨点医院消毒与感染控制监测各类样品607份，合格591份，合格率97.36%。完成病媒生物密度监测工作任务，其中：平均鼠密度0.41只/夹，蚊密度1.54只/灯.夜，蝇密度6.84只/笼，蟑螂密度0.06只/张，侵害率3.47%。接待尘肺病咨询、诊断的农民工2663人次，其中确诊农民工尘肺病675例。完成职业健康体检报告30701例，报告职业病94例。接诊动物咬伤患者5201人次，接种非免疫规划类疫苗3882针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4.其它疾病防控深入推进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一是艾滋病工作有亮点。扩大HIV监测覆盖面，对全市214.3万人群进行HIV抗体检测，检测率32.3%。新报告HIV/AIDS病例555例。积极推行艾滋病毒感染者/病人随访管理精细化、分类化，病例随访和CD4检测率为99.2%，配偶检测率为98.9%，结核筛查比例为98.7%，抗病毒治疗比例94.72%。干预暗娼、吸毒、男男性行为等艾滋病感染高危人群3.9万人次，HIV抗体检测2.5万人次。对六类人群共4400人开展监测，监测完成率100.0%。开展防艾知识宣传“五进”活动，成功举办衡阳市2023年“世界艾滋病日”主题宣传活动。4所高校实现艾滋病“互联网+尿液检测”，监管场所羁押人员HIV检测全覆盖。二是慢病防治有成绩。全面实施全民健康生活方式行动计划，已建成健康支持性环境19个。不断拓展慢病项目工作，全市共承担13个慢病项目工作，其中万步有约健走激励大奖赛、心血管高危筛查、慢阻肺项目工作、居民营养因素调查及危险因素监测项目、肿瘤随访登记项目都获得全国先进。三是结核病防控有效果。全市共登记治疗活动性肺结核病人5248例，较去年同期减少978例，下降15.71%。全市病原学阳性患者耐药筛查率为96.64%，耐药高危人群筛查率为95.80%，确诊耐药病人51例，纳入治疗率为80.39%。2023年入学新生结核病筛查率达99%以上，共报告学校结核病230例，未发生疫情扩散。共完成3621人次尿碘、盐碘实验室检测，监测结果均达到消除危害标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5.健康教育宣传形式多样</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pPr>
      <w:r>
        <w:rPr>
          <w:rFonts w:hint="eastAsia" w:ascii="仿宋" w:hAnsi="仿宋" w:eastAsia="仿宋" w:cs="仿宋"/>
          <w:b w:val="0"/>
          <w:bCs/>
          <w:i w:val="0"/>
          <w:caps w:val="0"/>
          <w:color w:val="auto"/>
          <w:spacing w:val="0"/>
          <w:w w:val="100"/>
          <w:kern w:val="2"/>
          <w:sz w:val="30"/>
          <w:szCs w:val="30"/>
          <w:lang w:val="en-US" w:eastAsia="zh-CN" w:bidi="ar-SA"/>
        </w:rPr>
        <w:t>一是积极开展健康素养促进行动项目工作。开展健康大讲堂“五进”活动7场，受益人群达1000余人次；指导衡南县完成345户成人烟草流行监测工作，指导衡南县和石鼓区完成960户健康素养和中医药素养监测工作，指导蒸湘区开展健康县区建设，均顺利通过省级考核验收；结合各卫生主题日开展宣传活动13场次。二是扎实推进巩固国家卫生城市健康教育工作。编印《衡阳市巩固国家卫生城市（健康教育和健康促进）资料汇编》；指导城区完成1200位居民健康素养和成人烟草流行监测，并形成分析统计报告；深入各场所开展健康教育工作指导，为2023年衡阳市迎接全国卫生城市复评奠定了坚实基础。三是切实做好健康教育科普宣传工作。选送多个科普作品参加国、省、市健康科普大赛，其中《珍惜爱，远离艾》荣获2023年度湖南省第二届“情系红丝带，共筑防艾梦”艾滋病防治知识健康科普总决赛二等奖，《了解结核，健康你我》荣获第六届湖南省健康科普大赛优秀健康科普作品，《共筑无烟环境，共享健康生活》案例在湖南省第一届“健康教育与健康促进优秀实践案例”活动中被评为健康素养促进优秀实践案例。四是努力营造健康教育浓厚宣传氛围。与《大众卫生报》合作，在省级媒体平台开辟宣传渠道；与衡阳日报合作开辟《疾病防控》专栏；与衡阳晚报联合开办《健康大讲堂》专栏；在衡阳人民广播电台《空中问诊》栏目开展科普答疑，播放健康公益广告；与衡阳电视台合办《健康有约》专题报道栏目，定期以游动字幕形式进行健康知识宣传；在衡阳新闻网、红网适时刊出各类重大疾病预防控制健康知识。在公共醒目位置设置大型户外健康教育公益广告宣传牌，定期更换宣传内容。全年接受各类新闻媒体采访及发表新闻稿件309篇次，中心门户网站发布信息103条，微信公众号推送信息810条，做到电视时时播、报纸周周有、宣传处处在，使健康教育宣传工作深入人心。</w:t>
      </w:r>
    </w:p>
    <w:p>
      <w:pPr>
        <w:pStyle w:val="1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int="eastAsia" w:eastAsia="黑体"/>
          <w:sz w:val="32"/>
          <w:szCs w:val="32"/>
          <w:lang w:eastAsia="zh-CN"/>
        </w:rPr>
        <w:t>五、</w:t>
      </w:r>
      <w:r>
        <w:rPr>
          <w:rFonts w:eastAsia="黑体"/>
          <w:sz w:val="32"/>
          <w:szCs w:val="32"/>
        </w:rPr>
        <w:t>存在的问题及原因分析</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1.电路、基础设施与车辆都已老化，车辆运行成本、设施维护较高，疾控业务楼建设搬迁还存在很大的资金缺口。</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2.部分资金下拨较晚，影响资金使用进度，部分项目因履行项目手续及招标采购程序，耽误了项目推进速度，比如：衡阳市免疫规划信息系统建设项目（76.5万元）、衡阳市疾控中心数字化预防接种门诊建设项目（20.52万元）、衡阳市疾控中心冷库建设项目（18.87万元）等均已经完成采购流程和合同签订，拟2024年初完成支付，由于2023年底财政关账后截至到目前为止，财政还未下达以前年度结余资金的指标，现支付存在一定的困难。</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3.</w:t>
      </w:r>
      <w:r>
        <w:rPr>
          <w:rFonts w:hint="default" w:ascii="仿宋" w:hAnsi="仿宋" w:eastAsia="仿宋" w:cs="仿宋"/>
          <w:b w:val="0"/>
          <w:bCs/>
          <w:i w:val="0"/>
          <w:caps w:val="0"/>
          <w:color w:val="auto"/>
          <w:spacing w:val="0"/>
          <w:w w:val="100"/>
          <w:kern w:val="2"/>
          <w:sz w:val="30"/>
          <w:szCs w:val="30"/>
          <w:lang w:val="en-US" w:eastAsia="zh-CN" w:bidi="ar-SA"/>
        </w:rPr>
        <w:t>慢病综合防治示范区创建全省靠后，目前仅有珠晖区为省级示范区；全市结核病疫情形势不容乐观，尤其是学校结核病聚集性疫情时有发生；免疫规划接种率不高，存在疫苗针对传染病暴发风险</w:t>
      </w:r>
      <w:r>
        <w:rPr>
          <w:rFonts w:hint="eastAsia" w:ascii="仿宋" w:hAnsi="仿宋" w:eastAsia="仿宋" w:cs="仿宋"/>
          <w:b w:val="0"/>
          <w:bCs/>
          <w:i w:val="0"/>
          <w:caps w:val="0"/>
          <w:color w:val="auto"/>
          <w:spacing w:val="0"/>
          <w:w w:val="100"/>
          <w:kern w:val="2"/>
          <w:sz w:val="30"/>
          <w:szCs w:val="30"/>
          <w:lang w:val="en-US" w:eastAsia="zh-CN" w:bidi="ar-SA"/>
        </w:rPr>
        <w:t>；</w:t>
      </w:r>
      <w:r>
        <w:rPr>
          <w:rFonts w:hint="default" w:ascii="仿宋" w:hAnsi="仿宋" w:eastAsia="仿宋" w:cs="仿宋"/>
          <w:b w:val="0"/>
          <w:bCs/>
          <w:i w:val="0"/>
          <w:caps w:val="0"/>
          <w:color w:val="auto"/>
          <w:spacing w:val="0"/>
          <w:w w:val="100"/>
          <w:kern w:val="2"/>
          <w:sz w:val="30"/>
          <w:szCs w:val="30"/>
          <w:lang w:val="en-US" w:eastAsia="zh-CN" w:bidi="ar-SA"/>
        </w:rPr>
        <w:t>未开展职业健康体检业务，专技人员专业能力下降</w:t>
      </w:r>
      <w:r>
        <w:rPr>
          <w:rFonts w:hint="eastAsia" w:ascii="仿宋" w:hAnsi="仿宋" w:eastAsia="仿宋" w:cs="仿宋"/>
          <w:b w:val="0"/>
          <w:bCs/>
          <w:i w:val="0"/>
          <w:caps w:val="0"/>
          <w:color w:val="auto"/>
          <w:spacing w:val="0"/>
          <w:w w:val="100"/>
          <w:kern w:val="2"/>
          <w:sz w:val="30"/>
          <w:szCs w:val="30"/>
          <w:lang w:val="en-US" w:eastAsia="zh-CN" w:bidi="ar-SA"/>
        </w:rPr>
        <w:t>。</w:t>
      </w:r>
    </w:p>
    <w:p>
      <w:pPr>
        <w:pStyle w:val="18"/>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六、</w:t>
      </w:r>
      <w:r>
        <w:rPr>
          <w:rFonts w:ascii="Times New Roman" w:hAnsi="Times New Roman" w:eastAsia="黑体"/>
          <w:sz w:val="32"/>
          <w:szCs w:val="32"/>
        </w:rPr>
        <w:t>下一步改进措施</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bookmarkStart w:id="0" w:name="_Toc420651213"/>
      <w:bookmarkStart w:id="1" w:name="_Toc389558919"/>
      <w:r>
        <w:rPr>
          <w:rFonts w:hint="eastAsia" w:ascii="仿宋" w:hAnsi="仿宋" w:eastAsia="仿宋" w:cs="仿宋"/>
          <w:b w:val="0"/>
          <w:bCs/>
          <w:i w:val="0"/>
          <w:caps w:val="0"/>
          <w:color w:val="auto"/>
          <w:spacing w:val="0"/>
          <w:w w:val="100"/>
          <w:kern w:val="2"/>
          <w:sz w:val="30"/>
          <w:szCs w:val="30"/>
          <w:lang w:val="en-US" w:eastAsia="zh-CN" w:bidi="ar-SA"/>
        </w:rPr>
        <w:t>1.加强财务管理，提升疾控整体能力建设，降低中心运行维护成本，争取市级项目资金的投入，弥补疾控业务楼搬迁工作的资金缺口。</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2.加强与主管部门的沟通协调，促进项目资金及时拨付，跨年度项目资金及时支付。</w:t>
      </w:r>
    </w:p>
    <w:bookmarkEnd w:id="0"/>
    <w:bookmarkEnd w:id="1"/>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3.强化督促，强化项目管理责任，督促项目实施主体绩效自评意识和项目管理责任意识，对实施过程全流程动态管理，</w:t>
      </w:r>
      <w:r>
        <w:rPr>
          <w:rFonts w:hint="default" w:ascii="仿宋" w:hAnsi="仿宋" w:eastAsia="仿宋" w:cs="仿宋"/>
          <w:b w:val="0"/>
          <w:bCs/>
          <w:i w:val="0"/>
          <w:caps w:val="0"/>
          <w:color w:val="auto"/>
          <w:spacing w:val="0"/>
          <w:w w:val="100"/>
          <w:kern w:val="2"/>
          <w:sz w:val="30"/>
          <w:szCs w:val="30"/>
          <w:lang w:val="en-US" w:eastAsia="zh-CN" w:bidi="ar-SA"/>
        </w:rPr>
        <w:t>以慢病示范区</w:t>
      </w:r>
      <w:r>
        <w:rPr>
          <w:rFonts w:hint="eastAsia" w:ascii="仿宋" w:hAnsi="仿宋" w:eastAsia="仿宋" w:cs="仿宋"/>
          <w:b w:val="0"/>
          <w:bCs/>
          <w:i w:val="0"/>
          <w:caps w:val="0"/>
          <w:color w:val="auto"/>
          <w:spacing w:val="0"/>
          <w:w w:val="100"/>
          <w:kern w:val="2"/>
          <w:sz w:val="30"/>
          <w:szCs w:val="30"/>
          <w:lang w:val="en-US" w:eastAsia="zh-CN" w:bidi="ar-SA"/>
        </w:rPr>
        <w:t>创建</w:t>
      </w:r>
      <w:r>
        <w:rPr>
          <w:rFonts w:hint="default" w:ascii="仿宋" w:hAnsi="仿宋" w:eastAsia="仿宋" w:cs="仿宋"/>
          <w:b w:val="0"/>
          <w:bCs/>
          <w:i w:val="0"/>
          <w:caps w:val="0"/>
          <w:color w:val="auto"/>
          <w:spacing w:val="0"/>
          <w:w w:val="100"/>
          <w:kern w:val="2"/>
          <w:sz w:val="30"/>
          <w:szCs w:val="30"/>
          <w:lang w:val="en-US" w:eastAsia="zh-CN" w:bidi="ar-SA"/>
        </w:rPr>
        <w:t>为突破点推进慢病防治工作</w:t>
      </w:r>
      <w:r>
        <w:rPr>
          <w:rFonts w:hint="eastAsia" w:ascii="仿宋" w:hAnsi="仿宋" w:eastAsia="仿宋" w:cs="仿宋"/>
          <w:b w:val="0"/>
          <w:bCs/>
          <w:i w:val="0"/>
          <w:caps w:val="0"/>
          <w:color w:val="auto"/>
          <w:spacing w:val="0"/>
          <w:w w:val="100"/>
          <w:kern w:val="2"/>
          <w:sz w:val="30"/>
          <w:szCs w:val="30"/>
          <w:lang w:val="en-US" w:eastAsia="zh-CN" w:bidi="ar-SA"/>
        </w:rPr>
        <w:t>，</w:t>
      </w:r>
      <w:r>
        <w:rPr>
          <w:rFonts w:hint="default" w:ascii="仿宋" w:hAnsi="仿宋" w:eastAsia="仿宋" w:cs="仿宋"/>
          <w:b w:val="0"/>
          <w:bCs/>
          <w:i w:val="0"/>
          <w:caps w:val="0"/>
          <w:color w:val="auto"/>
          <w:spacing w:val="0"/>
          <w:w w:val="100"/>
          <w:kern w:val="2"/>
          <w:sz w:val="30"/>
          <w:szCs w:val="30"/>
          <w:lang w:val="en-US" w:eastAsia="zh-CN" w:bidi="ar-SA"/>
        </w:rPr>
        <w:t>以加强学校结核病防治为重点降低结核病发病率</w:t>
      </w:r>
      <w:r>
        <w:rPr>
          <w:rFonts w:hint="eastAsia" w:ascii="仿宋" w:hAnsi="仿宋" w:eastAsia="仿宋" w:cs="仿宋"/>
          <w:b w:val="0"/>
          <w:bCs/>
          <w:i w:val="0"/>
          <w:caps w:val="0"/>
          <w:color w:val="auto"/>
          <w:spacing w:val="0"/>
          <w:w w:val="100"/>
          <w:kern w:val="2"/>
          <w:sz w:val="30"/>
          <w:szCs w:val="30"/>
          <w:lang w:val="en-US" w:eastAsia="zh-CN" w:bidi="ar-SA"/>
        </w:rPr>
        <w:t>，</w:t>
      </w:r>
      <w:r>
        <w:rPr>
          <w:rFonts w:hint="default" w:ascii="仿宋" w:hAnsi="仿宋" w:eastAsia="仿宋" w:cs="仿宋"/>
          <w:b w:val="0"/>
          <w:bCs/>
          <w:i w:val="0"/>
          <w:caps w:val="0"/>
          <w:color w:val="auto"/>
          <w:spacing w:val="0"/>
          <w:w w:val="100"/>
          <w:kern w:val="2"/>
          <w:sz w:val="30"/>
          <w:szCs w:val="30"/>
          <w:lang w:val="en-US" w:eastAsia="zh-CN" w:bidi="ar-SA"/>
        </w:rPr>
        <w:t>以示范性预防接种门诊创建提升免疫规划疫苗接种</w:t>
      </w:r>
      <w:r>
        <w:rPr>
          <w:rFonts w:hint="eastAsia" w:ascii="仿宋" w:hAnsi="仿宋" w:eastAsia="仿宋" w:cs="仿宋"/>
          <w:b w:val="0"/>
          <w:bCs/>
          <w:i w:val="0"/>
          <w:caps w:val="0"/>
          <w:color w:val="auto"/>
          <w:spacing w:val="0"/>
          <w:w w:val="100"/>
          <w:kern w:val="2"/>
          <w:sz w:val="30"/>
          <w:szCs w:val="30"/>
          <w:lang w:val="en-US" w:eastAsia="zh-CN" w:bidi="ar-SA"/>
        </w:rPr>
        <w:t>率，以</w:t>
      </w:r>
      <w:r>
        <w:rPr>
          <w:rFonts w:hint="default" w:ascii="仿宋" w:hAnsi="仿宋" w:eastAsia="仿宋" w:cs="仿宋"/>
          <w:b w:val="0"/>
          <w:bCs/>
          <w:i w:val="0"/>
          <w:caps w:val="0"/>
          <w:color w:val="auto"/>
          <w:spacing w:val="0"/>
          <w:w w:val="100"/>
          <w:kern w:val="2"/>
          <w:sz w:val="30"/>
          <w:szCs w:val="30"/>
          <w:lang w:val="en-US" w:eastAsia="zh-CN" w:bidi="ar-SA"/>
        </w:rPr>
        <w:t>恢复职业健康体检业务为契机提升职业防治能力</w:t>
      </w:r>
      <w:r>
        <w:rPr>
          <w:rFonts w:hint="eastAsia" w:ascii="仿宋" w:hAnsi="仿宋" w:eastAsia="仿宋" w:cs="仿宋"/>
          <w:b w:val="0"/>
          <w:bCs/>
          <w:i w:val="0"/>
          <w:caps w:val="0"/>
          <w:color w:val="auto"/>
          <w:spacing w:val="0"/>
          <w:w w:val="100"/>
          <w:kern w:val="2"/>
          <w:sz w:val="30"/>
          <w:szCs w:val="30"/>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i w:val="0"/>
          <w:caps w:val="0"/>
          <w:color w:val="auto"/>
          <w:spacing w:val="0"/>
          <w:w w:val="100"/>
          <w:kern w:val="2"/>
          <w:sz w:val="30"/>
          <w:szCs w:val="30"/>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衡阳市疾病预防控制中心</w:t>
      </w:r>
    </w:p>
    <w:p>
      <w:pPr>
        <w:keepNext w:val="0"/>
        <w:keepLines w:val="0"/>
        <w:pageBreakBefore w:val="0"/>
        <w:kinsoku/>
        <w:wordWrap/>
        <w:overflowPunct/>
        <w:topLinePunct w:val="0"/>
        <w:autoSpaceDE/>
        <w:autoSpaceDN/>
        <w:bidi w:val="0"/>
        <w:adjustRightInd/>
        <w:snapToGrid/>
        <w:spacing w:line="560" w:lineRule="exact"/>
        <w:ind w:firstLine="600" w:firstLineChars="200"/>
        <w:jc w:val="center"/>
        <w:textAlignment w:val="auto"/>
        <w:rPr>
          <w:rFonts w:hint="default" w:ascii="仿宋" w:hAnsi="仿宋" w:eastAsia="仿宋" w:cs="仿宋"/>
          <w:b w:val="0"/>
          <w:bCs/>
          <w:i w:val="0"/>
          <w:caps w:val="0"/>
          <w:color w:val="auto"/>
          <w:spacing w:val="0"/>
          <w:w w:val="100"/>
          <w:kern w:val="2"/>
          <w:sz w:val="30"/>
          <w:szCs w:val="30"/>
          <w:lang w:val="en-US" w:eastAsia="zh-CN" w:bidi="ar-SA"/>
        </w:rPr>
      </w:pPr>
      <w:r>
        <w:rPr>
          <w:rFonts w:hint="eastAsia" w:ascii="仿宋" w:hAnsi="仿宋" w:eastAsia="仿宋" w:cs="仿宋"/>
          <w:b w:val="0"/>
          <w:bCs/>
          <w:i w:val="0"/>
          <w:caps w:val="0"/>
          <w:color w:val="auto"/>
          <w:spacing w:val="0"/>
          <w:w w:val="100"/>
          <w:kern w:val="2"/>
          <w:sz w:val="30"/>
          <w:szCs w:val="30"/>
          <w:lang w:val="en-US" w:eastAsia="zh-CN" w:bidi="ar-SA"/>
        </w:rPr>
        <w:t xml:space="preserve">                          2024年4月1日</w:t>
      </w: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- 15 -</w:t>
    </w:r>
    <w:r>
      <w:rPr>
        <w:rStyle w:val="10"/>
        <w:rFonts w:ascii="Times New Roman" w:hAnsi="Times New Roman"/>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EyMTlkZjE0MGFmMzFlY2JlNzI5M2NjYjRmMTkxZDY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1C048E"/>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60A6FDB"/>
    <w:rsid w:val="06EF4AB2"/>
    <w:rsid w:val="07C71168"/>
    <w:rsid w:val="07CC09EB"/>
    <w:rsid w:val="0A0D53EC"/>
    <w:rsid w:val="0BA93258"/>
    <w:rsid w:val="0BB9448E"/>
    <w:rsid w:val="0D25263D"/>
    <w:rsid w:val="0D547A23"/>
    <w:rsid w:val="0D605732"/>
    <w:rsid w:val="0DD57ECE"/>
    <w:rsid w:val="0F262ACD"/>
    <w:rsid w:val="0FE97145"/>
    <w:rsid w:val="107F23CB"/>
    <w:rsid w:val="12331808"/>
    <w:rsid w:val="15DA6FC6"/>
    <w:rsid w:val="168B1A5F"/>
    <w:rsid w:val="17C50FB3"/>
    <w:rsid w:val="18934E7A"/>
    <w:rsid w:val="1C284F9A"/>
    <w:rsid w:val="1C572334"/>
    <w:rsid w:val="217D46AD"/>
    <w:rsid w:val="232778B2"/>
    <w:rsid w:val="282B4E63"/>
    <w:rsid w:val="28414686"/>
    <w:rsid w:val="2B8D5F30"/>
    <w:rsid w:val="2CA61530"/>
    <w:rsid w:val="2E660FDE"/>
    <w:rsid w:val="2E7071F6"/>
    <w:rsid w:val="2FFD3C3A"/>
    <w:rsid w:val="30F05651"/>
    <w:rsid w:val="32F739AF"/>
    <w:rsid w:val="37D56A93"/>
    <w:rsid w:val="38947362"/>
    <w:rsid w:val="398B5761"/>
    <w:rsid w:val="39FF3D6E"/>
    <w:rsid w:val="3A987BA2"/>
    <w:rsid w:val="3BFC0501"/>
    <w:rsid w:val="3C9B1CB9"/>
    <w:rsid w:val="3EE224BE"/>
    <w:rsid w:val="3F52287D"/>
    <w:rsid w:val="416B7C26"/>
    <w:rsid w:val="41C61B6B"/>
    <w:rsid w:val="431F6A03"/>
    <w:rsid w:val="44A75419"/>
    <w:rsid w:val="45002926"/>
    <w:rsid w:val="480547C5"/>
    <w:rsid w:val="485B4839"/>
    <w:rsid w:val="489A1243"/>
    <w:rsid w:val="4A6F6D2D"/>
    <w:rsid w:val="4B92138C"/>
    <w:rsid w:val="4B95421D"/>
    <w:rsid w:val="4CBB4158"/>
    <w:rsid w:val="4E516B22"/>
    <w:rsid w:val="505D2DB2"/>
    <w:rsid w:val="522E2CD6"/>
    <w:rsid w:val="55D63CAA"/>
    <w:rsid w:val="577B43C0"/>
    <w:rsid w:val="57F14ED1"/>
    <w:rsid w:val="58095D77"/>
    <w:rsid w:val="591C2557"/>
    <w:rsid w:val="59D93E6F"/>
    <w:rsid w:val="5C2F64BB"/>
    <w:rsid w:val="5F047CD6"/>
    <w:rsid w:val="5F247EBB"/>
    <w:rsid w:val="6031230F"/>
    <w:rsid w:val="609A4BD3"/>
    <w:rsid w:val="60B115FD"/>
    <w:rsid w:val="60D1764E"/>
    <w:rsid w:val="626B1375"/>
    <w:rsid w:val="62882016"/>
    <w:rsid w:val="62EE2458"/>
    <w:rsid w:val="62F62474"/>
    <w:rsid w:val="640815D9"/>
    <w:rsid w:val="64742B6E"/>
    <w:rsid w:val="653A7EB8"/>
    <w:rsid w:val="65A22784"/>
    <w:rsid w:val="65B31738"/>
    <w:rsid w:val="66B91727"/>
    <w:rsid w:val="67C35881"/>
    <w:rsid w:val="68AD09A1"/>
    <w:rsid w:val="6A9531CE"/>
    <w:rsid w:val="6AF80B9B"/>
    <w:rsid w:val="6BAD2A66"/>
    <w:rsid w:val="6CDE3E9F"/>
    <w:rsid w:val="6EF74444"/>
    <w:rsid w:val="6F547DC8"/>
    <w:rsid w:val="71125845"/>
    <w:rsid w:val="744D2A74"/>
    <w:rsid w:val="74E0071F"/>
    <w:rsid w:val="773A3B3B"/>
    <w:rsid w:val="77A24B7F"/>
    <w:rsid w:val="79336CA0"/>
    <w:rsid w:val="79A2386E"/>
    <w:rsid w:val="7BD32074"/>
    <w:rsid w:val="7C350F81"/>
    <w:rsid w:val="7E0A5DEF"/>
    <w:rsid w:val="7EDF0BB1"/>
    <w:rsid w:val="7F20194F"/>
    <w:rsid w:val="7F4A2182"/>
    <w:rsid w:val="7F531EB8"/>
    <w:rsid w:val="7F910F92"/>
    <w:rsid w:val="7F9F76B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style>
  <w:style w:type="paragraph" w:styleId="3">
    <w:name w:val="annotation text"/>
    <w:basedOn w:val="1"/>
    <w:link w:val="13"/>
    <w:autoRedefine/>
    <w:qFormat/>
    <w:uiPriority w:val="99"/>
    <w:pPr>
      <w:jc w:val="left"/>
    </w:pPr>
    <w:rPr>
      <w:rFonts w:ascii="Times New Roman" w:hAnsi="Times New Roman"/>
      <w:szCs w:val="24"/>
    </w:rPr>
  </w:style>
  <w:style w:type="paragraph" w:styleId="4">
    <w:name w:val="Balloon Text"/>
    <w:basedOn w:val="1"/>
    <w:link w:val="14"/>
    <w:autoRedefine/>
    <w:qFormat/>
    <w:uiPriority w:val="99"/>
    <w:rPr>
      <w:rFonts w:ascii="Times New Roman" w:hAnsi="Times New Roman"/>
      <w:sz w:val="18"/>
      <w:szCs w:val="18"/>
    </w:rPr>
  </w:style>
  <w:style w:type="paragraph" w:styleId="5">
    <w:name w:val="footer"/>
    <w:basedOn w:val="1"/>
    <w:link w:val="15"/>
    <w:autoRedefine/>
    <w:qFormat/>
    <w:uiPriority w:val="99"/>
    <w:pPr>
      <w:tabs>
        <w:tab w:val="center" w:pos="4153"/>
        <w:tab w:val="right" w:pos="8306"/>
      </w:tabs>
      <w:snapToGrid w:val="0"/>
      <w:jc w:val="left"/>
    </w:pPr>
    <w:rPr>
      <w:sz w:val="18"/>
      <w:szCs w:val="18"/>
    </w:rPr>
  </w:style>
  <w:style w:type="paragraph" w:styleId="6">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autoRedefine/>
    <w:qFormat/>
    <w:uiPriority w:val="99"/>
    <w:rPr>
      <w:rFonts w:cs="Times New Roman"/>
    </w:rPr>
  </w:style>
  <w:style w:type="character" w:styleId="11">
    <w:name w:val="Hyperlink"/>
    <w:basedOn w:val="9"/>
    <w:autoRedefine/>
    <w:unhideWhenUsed/>
    <w:qFormat/>
    <w:uiPriority w:val="99"/>
    <w:rPr>
      <w:color w:val="0000FF" w:themeColor="hyperlink"/>
      <w:u w:val="single"/>
    </w:rPr>
  </w:style>
  <w:style w:type="character" w:styleId="12">
    <w:name w:val="annotation reference"/>
    <w:basedOn w:val="9"/>
    <w:autoRedefine/>
    <w:qFormat/>
    <w:uiPriority w:val="99"/>
    <w:rPr>
      <w:rFonts w:cs="Times New Roman"/>
      <w:sz w:val="21"/>
      <w:szCs w:val="21"/>
    </w:rPr>
  </w:style>
  <w:style w:type="character" w:customStyle="1" w:styleId="13">
    <w:name w:val="批注文字 Char"/>
    <w:basedOn w:val="9"/>
    <w:link w:val="3"/>
    <w:autoRedefine/>
    <w:qFormat/>
    <w:locked/>
    <w:uiPriority w:val="99"/>
    <w:rPr>
      <w:rFonts w:ascii="Times New Roman" w:hAnsi="Times New Roman" w:eastAsia="宋体" w:cs="Times New Roman"/>
      <w:sz w:val="24"/>
      <w:szCs w:val="24"/>
    </w:rPr>
  </w:style>
  <w:style w:type="character" w:customStyle="1" w:styleId="14">
    <w:name w:val="批注框文本 Char"/>
    <w:basedOn w:val="9"/>
    <w:link w:val="4"/>
    <w:autoRedefine/>
    <w:qFormat/>
    <w:locked/>
    <w:uiPriority w:val="99"/>
    <w:rPr>
      <w:rFonts w:ascii="Times New Roman" w:hAnsi="Times New Roman" w:eastAsia="宋体" w:cs="Times New Roman"/>
      <w:sz w:val="18"/>
      <w:szCs w:val="18"/>
    </w:rPr>
  </w:style>
  <w:style w:type="character" w:customStyle="1" w:styleId="15">
    <w:name w:val="页脚 Char"/>
    <w:basedOn w:val="9"/>
    <w:link w:val="5"/>
    <w:autoRedefine/>
    <w:qFormat/>
    <w:locked/>
    <w:uiPriority w:val="99"/>
    <w:rPr>
      <w:rFonts w:cs="Times New Roman"/>
      <w:sz w:val="18"/>
      <w:szCs w:val="18"/>
    </w:rPr>
  </w:style>
  <w:style w:type="character" w:customStyle="1" w:styleId="16">
    <w:name w:val="页眉 Char"/>
    <w:basedOn w:val="9"/>
    <w:link w:val="6"/>
    <w:autoRedefine/>
    <w:qFormat/>
    <w:locked/>
    <w:uiPriority w:val="99"/>
    <w:rPr>
      <w:rFonts w:cs="Times New Roman"/>
      <w:sz w:val="18"/>
      <w:szCs w:val="18"/>
    </w:rPr>
  </w:style>
  <w:style w:type="paragraph" w:customStyle="1" w:styleId="17">
    <w:name w:val="列出段落1"/>
    <w:basedOn w:val="1"/>
    <w:autoRedefine/>
    <w:qFormat/>
    <w:uiPriority w:val="99"/>
    <w:pPr>
      <w:ind w:firstLine="420" w:firstLineChars="200"/>
    </w:pPr>
    <w:rPr>
      <w:rFonts w:ascii="Times New Roman" w:hAnsi="Times New Roman"/>
      <w:szCs w:val="24"/>
    </w:rPr>
  </w:style>
  <w:style w:type="paragraph" w:styleId="18">
    <w:name w:val="List Paragraph"/>
    <w:basedOn w:val="1"/>
    <w:autoRedefine/>
    <w:qFormat/>
    <w:uiPriority w:val="99"/>
    <w:pPr>
      <w:ind w:firstLine="420" w:firstLineChars="200"/>
    </w:pPr>
    <w:rPr>
      <w:rFonts w:ascii="Times New Roman" w:hAnsi="Times New Roman"/>
      <w:szCs w:val="24"/>
    </w:rPr>
  </w:style>
  <w:style w:type="paragraph" w:customStyle="1" w:styleId="19">
    <w:name w:val="修订1"/>
    <w:autoRedefine/>
    <w:hidden/>
    <w:qFormat/>
    <w:uiPriority w:val="99"/>
    <w:rPr>
      <w:rFonts w:ascii="Times New Roman" w:hAnsi="Times New Roman" w:eastAsia="宋体" w:cs="Times New Roman"/>
      <w:kern w:val="2"/>
      <w:sz w:val="21"/>
      <w:szCs w:val="24"/>
      <w:lang w:val="en-US" w:eastAsia="zh-CN" w:bidi="ar-SA"/>
    </w:rPr>
  </w:style>
  <w:style w:type="character" w:customStyle="1" w:styleId="20">
    <w:name w:val="font21"/>
    <w:basedOn w:val="9"/>
    <w:autoRedefine/>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4024</Words>
  <Characters>4260</Characters>
  <Lines>36</Lines>
  <Paragraphs>10</Paragraphs>
  <TotalTime>18</TotalTime>
  <ScaleCrop>false</ScaleCrop>
  <LinksUpToDate>false</LinksUpToDate>
  <CharactersWithSpaces>4816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超群</cp:lastModifiedBy>
  <cp:lastPrinted>2024-04-02T04:04:50Z</cp:lastPrinted>
  <dcterms:modified xsi:type="dcterms:W3CDTF">2024-04-02T04:06:38Z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05A3344A75BF4096A4DCE5DEC370004C</vt:lpwstr>
  </property>
</Properties>
</file>